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451A" w:rsidRPr="002D3BCA" w:rsidRDefault="0041451A" w:rsidP="002D3BCA">
      <w:pPr>
        <w:rPr>
          <w:b/>
          <w:bCs/>
          <w:color w:val="C45911" w:themeColor="accent2" w:themeShade="BF"/>
          <w:sz w:val="32"/>
          <w:szCs w:val="32"/>
        </w:rPr>
      </w:pPr>
      <w:r w:rsidRPr="002D3BCA">
        <w:rPr>
          <w:b/>
          <w:bCs/>
          <w:color w:val="C45911" w:themeColor="accent2" w:themeShade="BF"/>
          <w:sz w:val="32"/>
          <w:szCs w:val="32"/>
        </w:rPr>
        <w:t xml:space="preserve">Supplementary Results </w:t>
      </w:r>
    </w:p>
    <w:p w:rsidR="002D3BCA" w:rsidRPr="002D3BCA" w:rsidRDefault="002D3BCA" w:rsidP="002D3BCA">
      <w:pPr>
        <w:pStyle w:val="ListParagraph"/>
        <w:numPr>
          <w:ilvl w:val="0"/>
          <w:numId w:val="2"/>
        </w:numPr>
        <w:ind w:left="360"/>
        <w:rPr>
          <w:color w:val="C45911" w:themeColor="accent2" w:themeShade="BF"/>
          <w:sz w:val="28"/>
          <w:szCs w:val="28"/>
        </w:rPr>
      </w:pPr>
      <w:r>
        <w:rPr>
          <w:color w:val="C45911" w:themeColor="accent2" w:themeShade="BF"/>
          <w:sz w:val="28"/>
          <w:szCs w:val="28"/>
        </w:rPr>
        <w:t>Supplementary Tables</w:t>
      </w:r>
    </w:p>
    <w:p w:rsidR="00760E90" w:rsidRPr="00957F56" w:rsidRDefault="00760E90" w:rsidP="0041451A">
      <w:pPr>
        <w:rPr>
          <w:sz w:val="24"/>
          <w:szCs w:val="24"/>
        </w:rPr>
      </w:pPr>
    </w:p>
    <w:tbl>
      <w:tblPr>
        <w:tblStyle w:val="TableGrid"/>
        <w:tblpPr w:leftFromText="180" w:rightFromText="180" w:vertAnchor="text" w:horzAnchor="page" w:tblpXSpec="center" w:tblpY="282"/>
        <w:tblW w:w="6534" w:type="dxa"/>
        <w:tblLayout w:type="fixed"/>
        <w:tblLook w:val="04A0" w:firstRow="1" w:lastRow="0" w:firstColumn="1" w:lastColumn="0" w:noHBand="0" w:noVBand="1"/>
      </w:tblPr>
      <w:tblGrid>
        <w:gridCol w:w="1350"/>
        <w:gridCol w:w="594"/>
        <w:gridCol w:w="1080"/>
        <w:gridCol w:w="774"/>
        <w:gridCol w:w="792"/>
        <w:gridCol w:w="648"/>
        <w:gridCol w:w="648"/>
        <w:gridCol w:w="648"/>
      </w:tblGrid>
      <w:tr w:rsidR="0041451A" w:rsidRPr="0041451A" w:rsidTr="0041451A">
        <w:trPr>
          <w:trHeight w:val="350"/>
        </w:trPr>
        <w:tc>
          <w:tcPr>
            <w:tcW w:w="1350" w:type="dxa"/>
          </w:tcPr>
          <w:p w:rsidR="0041451A" w:rsidRPr="0041451A" w:rsidRDefault="0041451A" w:rsidP="0041451A">
            <w:pPr>
              <w:suppressAutoHyphens/>
              <w:jc w:val="center"/>
              <w:rPr>
                <w:rFonts w:eastAsia="Calibri" w:cs="Times New Roman"/>
              </w:rPr>
            </w:pPr>
            <w:r w:rsidRPr="0041451A">
              <w:rPr>
                <w:rFonts w:eastAsia="Calibri" w:cs="Times New Roman"/>
              </w:rPr>
              <w:t>Parameter</w:t>
            </w:r>
          </w:p>
        </w:tc>
        <w:tc>
          <w:tcPr>
            <w:tcW w:w="594" w:type="dxa"/>
          </w:tcPr>
          <w:p w:rsidR="0041451A" w:rsidRPr="0041451A" w:rsidRDefault="0041451A" w:rsidP="0041451A">
            <w:pPr>
              <w:suppressAutoHyphens/>
              <w:jc w:val="center"/>
              <w:rPr>
                <w:rFonts w:eastAsia="Calibri" w:cs="Times New Roman"/>
                <w:vertAlign w:val="subscript"/>
                <w:lang w:bidi="fa-IR"/>
              </w:rPr>
            </w:pPr>
            <w:r w:rsidRPr="0041451A">
              <w:rPr>
                <w:rFonts w:eastAsia="Calibri" w:cs="Times New Roman"/>
                <w:i/>
                <w:iCs/>
              </w:rPr>
              <w:t>P</w:t>
            </w:r>
            <w:r w:rsidRPr="0041451A">
              <w:rPr>
                <w:rFonts w:eastAsia="Calibri" w:cs="Times New Roman"/>
                <w:i/>
                <w:iCs/>
                <w:vertAlign w:val="subscript"/>
              </w:rPr>
              <w:t>R</w:t>
            </w:r>
          </w:p>
        </w:tc>
        <w:tc>
          <w:tcPr>
            <w:tcW w:w="1080" w:type="dxa"/>
          </w:tcPr>
          <w:p w:rsidR="0041451A" w:rsidRPr="0041451A" w:rsidRDefault="0041451A" w:rsidP="0041451A">
            <w:pPr>
              <w:suppressAutoHyphens/>
              <w:jc w:val="center"/>
              <w:rPr>
                <w:rFonts w:eastAsia="Calibri" w:cs="Times New Roman"/>
                <w:lang w:bidi="fa-IR"/>
              </w:rPr>
            </w:pPr>
            <w:r w:rsidRPr="0041451A">
              <w:rPr>
                <w:rFonts w:eastAsia="Calibri" w:cs="Times New Roman"/>
                <w:i/>
                <w:iCs/>
              </w:rPr>
              <w:t xml:space="preserve">L -U </w:t>
            </w:r>
          </w:p>
        </w:tc>
        <w:tc>
          <w:tcPr>
            <w:tcW w:w="774" w:type="dxa"/>
          </w:tcPr>
          <w:p w:rsidR="0041451A" w:rsidRPr="0041451A" w:rsidRDefault="0041451A" w:rsidP="0041451A">
            <w:pPr>
              <w:suppressAutoHyphens/>
              <w:jc w:val="center"/>
              <w:rPr>
                <w:rFonts w:eastAsia="Calibri" w:cs="Times New Roman"/>
                <w:vertAlign w:val="subscript"/>
                <w:lang w:bidi="fa-IR"/>
              </w:rPr>
            </w:pPr>
            <w:r w:rsidRPr="0041451A">
              <w:rPr>
                <w:rFonts w:eastAsia="Calibri" w:cs="Times New Roman"/>
                <w:i/>
                <w:iCs/>
              </w:rPr>
              <w:t>N</w:t>
            </w:r>
            <w:r w:rsidRPr="0041451A">
              <w:rPr>
                <w:rFonts w:eastAsia="Calibri" w:cs="Times New Roman"/>
                <w:i/>
                <w:iCs/>
                <w:vertAlign w:val="subscript"/>
              </w:rPr>
              <w:t>it</w:t>
            </w:r>
          </w:p>
        </w:tc>
        <w:tc>
          <w:tcPr>
            <w:tcW w:w="792" w:type="dxa"/>
          </w:tcPr>
          <w:p w:rsidR="0041451A" w:rsidRPr="0041451A" w:rsidRDefault="0041451A" w:rsidP="0041451A">
            <w:pPr>
              <w:suppressAutoHyphens/>
              <w:jc w:val="center"/>
              <w:rPr>
                <w:rFonts w:eastAsia="Calibri" w:cs="Times New Roman"/>
                <w:vertAlign w:val="subscript"/>
                <w:lang w:bidi="fa-IR"/>
              </w:rPr>
            </w:pPr>
            <w:proofErr w:type="spellStart"/>
            <w:r w:rsidRPr="0041451A">
              <w:rPr>
                <w:rFonts w:eastAsia="Calibri" w:cs="Times New Roman"/>
                <w:i/>
                <w:iCs/>
              </w:rPr>
              <w:t>N</w:t>
            </w:r>
            <w:r w:rsidRPr="0041451A">
              <w:rPr>
                <w:rFonts w:eastAsia="Calibri" w:cs="Times New Roman"/>
                <w:i/>
                <w:iCs/>
                <w:vertAlign w:val="subscript"/>
              </w:rPr>
              <w:t>pop</w:t>
            </w:r>
            <w:proofErr w:type="spellEnd"/>
          </w:p>
        </w:tc>
        <w:tc>
          <w:tcPr>
            <w:tcW w:w="648" w:type="dxa"/>
          </w:tcPr>
          <w:p w:rsidR="0041451A" w:rsidRPr="0041451A" w:rsidRDefault="0041451A" w:rsidP="0041451A">
            <w:pPr>
              <w:suppressAutoHyphens/>
              <w:jc w:val="center"/>
              <w:rPr>
                <w:rFonts w:eastAsia="Calibri" w:cs="Times New Roman"/>
                <w:vertAlign w:val="subscript"/>
                <w:lang w:bidi="fa-IR"/>
              </w:rPr>
            </w:pPr>
            <w:proofErr w:type="spellStart"/>
            <w:r w:rsidRPr="0041451A">
              <w:rPr>
                <w:rFonts w:eastAsia="Calibri" w:cs="Times New Roman"/>
                <w:i/>
                <w:iCs/>
              </w:rPr>
              <w:t>N</w:t>
            </w:r>
            <w:r w:rsidRPr="0041451A">
              <w:rPr>
                <w:rFonts w:eastAsia="Calibri" w:cs="Times New Roman"/>
                <w:i/>
                <w:iCs/>
                <w:vertAlign w:val="subscript"/>
              </w:rPr>
              <w:t>Imp</w:t>
            </w:r>
            <w:proofErr w:type="spellEnd"/>
          </w:p>
        </w:tc>
        <w:tc>
          <w:tcPr>
            <w:tcW w:w="648" w:type="dxa"/>
          </w:tcPr>
          <w:p w:rsidR="0041451A" w:rsidRPr="0041451A" w:rsidRDefault="0041451A" w:rsidP="0041451A">
            <w:pPr>
              <w:suppressAutoHyphens/>
              <w:jc w:val="center"/>
              <w:rPr>
                <w:rFonts w:eastAsia="Calibri" w:cs="Times New Roman"/>
                <w:i/>
                <w:iCs/>
              </w:rPr>
            </w:pPr>
            <w:r w:rsidRPr="0041451A">
              <w:rPr>
                <w:rFonts w:eastAsia="Times New Roman" w:cs="Times New Roman"/>
                <w:lang w:bidi="en-US"/>
              </w:rPr>
              <w:t>Beta</w:t>
            </w:r>
          </w:p>
        </w:tc>
        <w:tc>
          <w:tcPr>
            <w:tcW w:w="648" w:type="dxa"/>
          </w:tcPr>
          <w:p w:rsidR="0041451A" w:rsidRPr="0041451A" w:rsidRDefault="0041451A" w:rsidP="0041451A">
            <w:pPr>
              <w:suppressAutoHyphens/>
              <w:jc w:val="center"/>
              <w:rPr>
                <w:rFonts w:eastAsia="Times New Roman" w:cs="Times New Roman"/>
                <w:lang w:bidi="en-US"/>
              </w:rPr>
            </w:pPr>
            <w:r w:rsidRPr="0041451A">
              <w:rPr>
                <w:rFonts w:eastAsia="Times New Roman" w:cs="Times New Roman"/>
                <w:lang w:bidi="en-US"/>
              </w:rPr>
              <w:t>Zeta</w:t>
            </w:r>
          </w:p>
        </w:tc>
      </w:tr>
      <w:tr w:rsidR="0041451A" w:rsidRPr="0041451A" w:rsidTr="0041451A">
        <w:trPr>
          <w:trHeight w:val="60"/>
        </w:trPr>
        <w:tc>
          <w:tcPr>
            <w:tcW w:w="1350" w:type="dxa"/>
          </w:tcPr>
          <w:p w:rsidR="0041451A" w:rsidRPr="0041451A" w:rsidRDefault="0041451A" w:rsidP="0041451A">
            <w:pPr>
              <w:suppressAutoHyphens/>
              <w:jc w:val="center"/>
              <w:rPr>
                <w:rFonts w:eastAsia="Calibri" w:cs="Times New Roman"/>
                <w:lang w:bidi="fa-IR"/>
              </w:rPr>
            </w:pPr>
            <w:r w:rsidRPr="0041451A">
              <w:rPr>
                <w:rFonts w:eastAsia="Calibri" w:cs="Times New Roman"/>
                <w:lang w:bidi="fa-IR"/>
              </w:rPr>
              <w:t>Value</w:t>
            </w:r>
          </w:p>
        </w:tc>
        <w:tc>
          <w:tcPr>
            <w:tcW w:w="594" w:type="dxa"/>
          </w:tcPr>
          <w:p w:rsidR="0041451A" w:rsidRPr="0041451A" w:rsidRDefault="0041451A" w:rsidP="0041451A">
            <w:pPr>
              <w:suppressAutoHyphens/>
              <w:jc w:val="center"/>
              <w:rPr>
                <w:rFonts w:eastAsia="Calibri" w:cs="Times New Roman"/>
                <w:lang w:bidi="fa-IR"/>
              </w:rPr>
            </w:pPr>
            <w:r w:rsidRPr="0041451A">
              <w:rPr>
                <w:rFonts w:eastAsia="Calibri" w:cs="Times New Roman"/>
                <w:lang w:bidi="fa-IR"/>
              </w:rPr>
              <w:t>0.3</w:t>
            </w:r>
          </w:p>
        </w:tc>
        <w:tc>
          <w:tcPr>
            <w:tcW w:w="1080" w:type="dxa"/>
          </w:tcPr>
          <w:p w:rsidR="0041451A" w:rsidRPr="0041451A" w:rsidRDefault="0041451A" w:rsidP="0041451A">
            <w:pPr>
              <w:suppressAutoHyphens/>
              <w:jc w:val="center"/>
              <w:rPr>
                <w:rFonts w:eastAsia="Calibri" w:cs="Times New Roman"/>
                <w:lang w:bidi="fa-IR"/>
              </w:rPr>
            </w:pPr>
            <w:r w:rsidRPr="0041451A">
              <w:rPr>
                <w:rFonts w:eastAsia="Calibri" w:cs="Times New Roman"/>
                <w:lang w:bidi="fa-IR"/>
              </w:rPr>
              <w:t>0-100</w:t>
            </w:r>
          </w:p>
        </w:tc>
        <w:tc>
          <w:tcPr>
            <w:tcW w:w="774" w:type="dxa"/>
          </w:tcPr>
          <w:p w:rsidR="0041451A" w:rsidRPr="0041451A" w:rsidRDefault="0041451A" w:rsidP="0041451A">
            <w:pPr>
              <w:suppressAutoHyphens/>
              <w:jc w:val="center"/>
              <w:rPr>
                <w:rFonts w:eastAsia="Calibri" w:cs="Times New Roman"/>
                <w:lang w:bidi="fa-IR"/>
              </w:rPr>
            </w:pPr>
            <w:r w:rsidRPr="0041451A">
              <w:rPr>
                <w:rFonts w:eastAsia="Calibri" w:cs="Times New Roman"/>
                <w:lang w:bidi="fa-IR"/>
              </w:rPr>
              <w:t>1000</w:t>
            </w:r>
          </w:p>
        </w:tc>
        <w:tc>
          <w:tcPr>
            <w:tcW w:w="792" w:type="dxa"/>
          </w:tcPr>
          <w:p w:rsidR="0041451A" w:rsidRPr="0041451A" w:rsidRDefault="0041451A" w:rsidP="0041451A">
            <w:pPr>
              <w:suppressAutoHyphens/>
              <w:jc w:val="center"/>
              <w:rPr>
                <w:rFonts w:eastAsia="Calibri" w:cs="Times New Roman"/>
                <w:lang w:bidi="fa-IR"/>
              </w:rPr>
            </w:pPr>
            <w:r w:rsidRPr="0041451A">
              <w:rPr>
                <w:rFonts w:eastAsia="Calibri" w:cs="Times New Roman"/>
                <w:lang w:bidi="fa-IR"/>
              </w:rPr>
              <w:t>100</w:t>
            </w:r>
          </w:p>
        </w:tc>
        <w:tc>
          <w:tcPr>
            <w:tcW w:w="648" w:type="dxa"/>
          </w:tcPr>
          <w:p w:rsidR="0041451A" w:rsidRPr="0041451A" w:rsidRDefault="0041451A" w:rsidP="0041451A">
            <w:pPr>
              <w:suppressAutoHyphens/>
              <w:jc w:val="center"/>
              <w:rPr>
                <w:rFonts w:eastAsia="Calibri" w:cs="Times New Roman"/>
                <w:lang w:bidi="fa-IR"/>
              </w:rPr>
            </w:pPr>
            <w:r w:rsidRPr="0041451A">
              <w:rPr>
                <w:rFonts w:eastAsia="Calibri" w:cs="Times New Roman"/>
                <w:lang w:bidi="fa-IR"/>
              </w:rPr>
              <w:t>8</w:t>
            </w:r>
          </w:p>
        </w:tc>
        <w:tc>
          <w:tcPr>
            <w:tcW w:w="648" w:type="dxa"/>
          </w:tcPr>
          <w:p w:rsidR="0041451A" w:rsidRPr="0041451A" w:rsidRDefault="0041451A" w:rsidP="0041451A">
            <w:pPr>
              <w:suppressAutoHyphens/>
              <w:jc w:val="center"/>
              <w:rPr>
                <w:rFonts w:eastAsia="Calibri" w:cs="Times New Roman"/>
                <w:lang w:bidi="fa-IR"/>
              </w:rPr>
            </w:pPr>
            <w:r w:rsidRPr="0041451A">
              <w:rPr>
                <w:rFonts w:eastAsia="Calibri" w:cs="Times New Roman"/>
                <w:lang w:bidi="fa-IR"/>
              </w:rPr>
              <w:t>0.2</w:t>
            </w:r>
          </w:p>
        </w:tc>
        <w:tc>
          <w:tcPr>
            <w:tcW w:w="648" w:type="dxa"/>
          </w:tcPr>
          <w:p w:rsidR="0041451A" w:rsidRPr="0041451A" w:rsidRDefault="0041451A" w:rsidP="0041451A">
            <w:pPr>
              <w:suppressAutoHyphens/>
              <w:jc w:val="center"/>
              <w:rPr>
                <w:rFonts w:eastAsia="Calibri" w:cs="Times New Roman"/>
                <w:lang w:bidi="fa-IR"/>
              </w:rPr>
            </w:pPr>
            <w:r w:rsidRPr="0041451A">
              <w:rPr>
                <w:rFonts w:eastAsia="Calibri" w:cs="Times New Roman"/>
                <w:lang w:bidi="fa-IR"/>
              </w:rPr>
              <w:t>0.1</w:t>
            </w:r>
          </w:p>
        </w:tc>
      </w:tr>
    </w:tbl>
    <w:p w:rsidR="0041451A" w:rsidRPr="0041451A" w:rsidRDefault="0041451A" w:rsidP="002D3BCA">
      <w:pPr>
        <w:pStyle w:val="Caption"/>
        <w:keepNext/>
        <w:jc w:val="center"/>
        <w:rPr>
          <w:rFonts w:asciiTheme="majorBidi" w:hAnsiTheme="majorBidi" w:cstheme="majorBidi"/>
          <w:i w:val="0"/>
          <w:iCs w:val="0"/>
        </w:rPr>
      </w:pPr>
      <w:r>
        <w:rPr>
          <w:rFonts w:asciiTheme="majorBidi" w:hAnsiTheme="majorBidi" w:cstheme="majorBidi"/>
          <w:i w:val="0"/>
          <w:iCs w:val="0"/>
        </w:rPr>
        <w:t xml:space="preserve">Supplementary </w:t>
      </w:r>
      <w:r w:rsidRPr="0041451A">
        <w:rPr>
          <w:rFonts w:asciiTheme="majorBidi" w:hAnsiTheme="majorBidi" w:cstheme="majorBidi"/>
          <w:i w:val="0"/>
          <w:iCs w:val="0"/>
        </w:rPr>
        <w:t xml:space="preserve">Table </w:t>
      </w:r>
      <w:r w:rsidRPr="0041451A">
        <w:rPr>
          <w:rFonts w:asciiTheme="majorBidi" w:hAnsiTheme="majorBidi" w:cstheme="majorBidi"/>
          <w:i w:val="0"/>
          <w:iCs w:val="0"/>
        </w:rPr>
        <w:fldChar w:fldCharType="begin"/>
      </w:r>
      <w:r w:rsidRPr="0041451A">
        <w:rPr>
          <w:rFonts w:asciiTheme="majorBidi" w:hAnsiTheme="majorBidi" w:cstheme="majorBidi"/>
          <w:i w:val="0"/>
          <w:iCs w:val="0"/>
        </w:rPr>
        <w:instrText xml:space="preserve"> SEQ Table \* ARABIC </w:instrText>
      </w:r>
      <w:r w:rsidRPr="0041451A">
        <w:rPr>
          <w:rFonts w:asciiTheme="majorBidi" w:hAnsiTheme="majorBidi" w:cstheme="majorBidi"/>
          <w:i w:val="0"/>
          <w:iCs w:val="0"/>
        </w:rPr>
        <w:fldChar w:fldCharType="separate"/>
      </w:r>
      <w:r w:rsidR="002D3BCA">
        <w:rPr>
          <w:rFonts w:asciiTheme="majorBidi" w:hAnsiTheme="majorBidi" w:cstheme="majorBidi"/>
          <w:i w:val="0"/>
          <w:iCs w:val="0"/>
          <w:noProof/>
        </w:rPr>
        <w:t>1</w:t>
      </w:r>
      <w:r w:rsidRPr="0041451A">
        <w:rPr>
          <w:rFonts w:asciiTheme="majorBidi" w:hAnsiTheme="majorBidi" w:cstheme="majorBidi"/>
          <w:i w:val="0"/>
          <w:iCs w:val="0"/>
        </w:rPr>
        <w:fldChar w:fldCharType="end"/>
      </w:r>
      <w:r w:rsidR="002D3BCA">
        <w:rPr>
          <w:rFonts w:asciiTheme="majorBidi" w:hAnsiTheme="majorBidi" w:cstheme="majorBidi"/>
          <w:i w:val="0"/>
          <w:iCs w:val="0"/>
        </w:rPr>
        <w:t>.</w:t>
      </w:r>
      <w:r>
        <w:rPr>
          <w:rFonts w:asciiTheme="majorBidi" w:hAnsiTheme="majorBidi" w:cstheme="majorBidi"/>
          <w:i w:val="0"/>
          <w:iCs w:val="0"/>
        </w:rPr>
        <w:t xml:space="preserve"> Imperialist Competitive Algorithm Parameters</w:t>
      </w:r>
    </w:p>
    <w:p w:rsidR="00D72C44" w:rsidRPr="00D72C44" w:rsidRDefault="00D72C44" w:rsidP="0041451A">
      <w:pPr>
        <w:tabs>
          <w:tab w:val="left" w:pos="1257"/>
        </w:tabs>
      </w:pPr>
    </w:p>
    <w:p w:rsidR="00D72C44" w:rsidRDefault="00D72C44" w:rsidP="00D72C44"/>
    <w:p w:rsidR="002D3BCA" w:rsidRDefault="002D3BCA" w:rsidP="00D72C44"/>
    <w:p w:rsidR="002D3BCA" w:rsidRPr="002D3BCA" w:rsidRDefault="002D3BCA" w:rsidP="002D3BCA">
      <w:pPr>
        <w:pStyle w:val="Caption"/>
        <w:keepNext/>
        <w:jc w:val="center"/>
        <w:rPr>
          <w:rFonts w:asciiTheme="majorBidi" w:hAnsiTheme="majorBidi" w:cstheme="majorBidi"/>
          <w:i w:val="0"/>
          <w:iCs w:val="0"/>
        </w:rPr>
      </w:pPr>
      <w:r w:rsidRPr="002D3BCA">
        <w:rPr>
          <w:rFonts w:asciiTheme="majorBidi" w:hAnsiTheme="majorBidi" w:cstheme="majorBidi"/>
          <w:i w:val="0"/>
          <w:iCs w:val="0"/>
        </w:rPr>
        <w:t xml:space="preserve">Supplementary Table </w:t>
      </w:r>
      <w:r w:rsidRPr="002D3BCA">
        <w:rPr>
          <w:rFonts w:asciiTheme="majorBidi" w:hAnsiTheme="majorBidi" w:cstheme="majorBidi"/>
          <w:i w:val="0"/>
          <w:iCs w:val="0"/>
        </w:rPr>
        <w:fldChar w:fldCharType="begin"/>
      </w:r>
      <w:r w:rsidRPr="002D3BCA">
        <w:rPr>
          <w:rFonts w:asciiTheme="majorBidi" w:hAnsiTheme="majorBidi" w:cstheme="majorBidi"/>
          <w:i w:val="0"/>
          <w:iCs w:val="0"/>
        </w:rPr>
        <w:instrText xml:space="preserve"> SEQ Table \* ARABIC </w:instrText>
      </w:r>
      <w:r w:rsidRPr="002D3BCA">
        <w:rPr>
          <w:rFonts w:asciiTheme="majorBidi" w:hAnsiTheme="majorBidi" w:cstheme="majorBidi"/>
          <w:i w:val="0"/>
          <w:iCs w:val="0"/>
        </w:rPr>
        <w:fldChar w:fldCharType="separate"/>
      </w:r>
      <w:r w:rsidRPr="002D3BCA">
        <w:rPr>
          <w:rFonts w:asciiTheme="majorBidi" w:hAnsiTheme="majorBidi" w:cstheme="majorBidi"/>
          <w:i w:val="0"/>
          <w:iCs w:val="0"/>
          <w:noProof/>
        </w:rPr>
        <w:t>2</w:t>
      </w:r>
      <w:r w:rsidRPr="002D3BCA">
        <w:rPr>
          <w:rFonts w:asciiTheme="majorBidi" w:hAnsiTheme="majorBidi" w:cstheme="majorBidi"/>
          <w:i w:val="0"/>
          <w:iCs w:val="0"/>
        </w:rPr>
        <w:fldChar w:fldCharType="end"/>
      </w:r>
      <w:r w:rsidRPr="002D3BCA">
        <w:rPr>
          <w:rFonts w:asciiTheme="majorBidi" w:hAnsiTheme="majorBidi" w:cstheme="majorBidi"/>
          <w:i w:val="0"/>
          <w:iCs w:val="0"/>
        </w:rPr>
        <w:t>. values of the obtained parameters of normal cell system</w:t>
      </w:r>
    </w:p>
    <w:tbl>
      <w:tblPr>
        <w:tblStyle w:val="GridTable5Dark-Accent2"/>
        <w:tblW w:w="0" w:type="auto"/>
        <w:tblLayout w:type="fixed"/>
        <w:tblLook w:val="04A0" w:firstRow="1" w:lastRow="0" w:firstColumn="1" w:lastColumn="0" w:noHBand="0" w:noVBand="1"/>
      </w:tblPr>
      <w:tblGrid>
        <w:gridCol w:w="1154"/>
        <w:gridCol w:w="640"/>
        <w:gridCol w:w="648"/>
        <w:gridCol w:w="607"/>
        <w:gridCol w:w="703"/>
        <w:gridCol w:w="944"/>
        <w:gridCol w:w="703"/>
        <w:gridCol w:w="972"/>
        <w:gridCol w:w="1154"/>
        <w:gridCol w:w="1350"/>
      </w:tblGrid>
      <w:tr w:rsidR="00B12837" w:rsidRPr="002D3BCA" w:rsidTr="00B1283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</w:pPr>
          </w:p>
        </w:tc>
        <w:tc>
          <w:tcPr>
            <w:tcW w:w="640" w:type="dxa"/>
            <w:noWrap/>
            <w:hideMark/>
          </w:tcPr>
          <w:p w:rsidR="002D3BCA" w:rsidRPr="002D3BCA" w:rsidRDefault="002D3BCA" w:rsidP="002D3B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MYC</w:t>
            </w:r>
          </w:p>
        </w:tc>
        <w:tc>
          <w:tcPr>
            <w:tcW w:w="648" w:type="dxa"/>
            <w:noWrap/>
            <w:hideMark/>
          </w:tcPr>
          <w:p w:rsidR="002D3BCA" w:rsidRPr="002D3BCA" w:rsidRDefault="002D3BCA" w:rsidP="002D3B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E2F1</w:t>
            </w:r>
          </w:p>
        </w:tc>
        <w:tc>
          <w:tcPr>
            <w:tcW w:w="607" w:type="dxa"/>
            <w:noWrap/>
            <w:hideMark/>
          </w:tcPr>
          <w:p w:rsidR="002D3BCA" w:rsidRPr="002D3BCA" w:rsidRDefault="002D3BCA" w:rsidP="002D3B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RB1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CDK4</w:t>
            </w:r>
          </w:p>
        </w:tc>
        <w:tc>
          <w:tcPr>
            <w:tcW w:w="944" w:type="dxa"/>
            <w:noWrap/>
            <w:hideMark/>
          </w:tcPr>
          <w:p w:rsidR="002D3BCA" w:rsidRPr="002D3BCA" w:rsidRDefault="002D3BCA" w:rsidP="002D3B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CDC25A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CDK2</w:t>
            </w:r>
          </w:p>
        </w:tc>
        <w:tc>
          <w:tcPr>
            <w:tcW w:w="972" w:type="dxa"/>
            <w:noWrap/>
            <w:hideMark/>
          </w:tcPr>
          <w:p w:rsidR="002D3BCA" w:rsidRPr="002D3BCA" w:rsidRDefault="002D3BCA" w:rsidP="002D3B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CDKN1B</w:t>
            </w:r>
          </w:p>
        </w:tc>
        <w:tc>
          <w:tcPr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miR-17-92</w:t>
            </w:r>
          </w:p>
        </w:tc>
        <w:tc>
          <w:tcPr>
            <w:tcW w:w="1350" w:type="dxa"/>
            <w:noWrap/>
            <w:hideMark/>
          </w:tcPr>
          <w:p w:rsidR="002D3BCA" w:rsidRPr="002D3BCA" w:rsidRDefault="002D3BCA" w:rsidP="002D3BCA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Degradation</w:t>
            </w:r>
          </w:p>
        </w:tc>
      </w:tr>
      <w:tr w:rsidR="00B12837" w:rsidRPr="002D3BCA" w:rsidTr="00B128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</w:pPr>
            <w:r w:rsidRPr="002D3BCA">
              <w:t>MYC</w:t>
            </w:r>
          </w:p>
        </w:tc>
        <w:tc>
          <w:tcPr>
            <w:tcW w:w="640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D3BCA">
              <w:t>4.59</w:t>
            </w:r>
          </w:p>
        </w:tc>
        <w:tc>
          <w:tcPr>
            <w:tcW w:w="648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D3BCA">
              <w:t>2.29</w:t>
            </w:r>
          </w:p>
        </w:tc>
        <w:tc>
          <w:tcPr>
            <w:tcW w:w="607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944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972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1350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D3BCA">
              <w:t>0.47</w:t>
            </w:r>
          </w:p>
        </w:tc>
      </w:tr>
      <w:tr w:rsidR="00B12837" w:rsidRPr="002D3BCA" w:rsidTr="00B128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</w:pPr>
            <w:r w:rsidRPr="002D3BCA">
              <w:t>E2F1</w:t>
            </w:r>
          </w:p>
        </w:tc>
        <w:tc>
          <w:tcPr>
            <w:tcW w:w="640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0.89</w:t>
            </w:r>
          </w:p>
        </w:tc>
        <w:tc>
          <w:tcPr>
            <w:tcW w:w="648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3.63</w:t>
            </w:r>
          </w:p>
        </w:tc>
        <w:tc>
          <w:tcPr>
            <w:tcW w:w="607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4.86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944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972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5</w:t>
            </w:r>
          </w:p>
        </w:tc>
        <w:tc>
          <w:tcPr>
            <w:tcW w:w="1350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0.75</w:t>
            </w:r>
          </w:p>
        </w:tc>
      </w:tr>
      <w:tr w:rsidR="00B12837" w:rsidRPr="002D3BCA" w:rsidTr="00B128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</w:pPr>
            <w:r w:rsidRPr="002D3BCA">
              <w:t>RB1</w:t>
            </w:r>
          </w:p>
        </w:tc>
        <w:tc>
          <w:tcPr>
            <w:tcW w:w="640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648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607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D3BCA">
              <w:t>5</w:t>
            </w:r>
          </w:p>
        </w:tc>
        <w:tc>
          <w:tcPr>
            <w:tcW w:w="944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D3BCA">
              <w:t>3.48</w:t>
            </w:r>
          </w:p>
        </w:tc>
        <w:tc>
          <w:tcPr>
            <w:tcW w:w="972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1350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D3BCA">
              <w:t>0.86</w:t>
            </w:r>
          </w:p>
        </w:tc>
        <w:bookmarkStart w:id="0" w:name="_GoBack"/>
        <w:bookmarkEnd w:id="0"/>
      </w:tr>
      <w:tr w:rsidR="00B12837" w:rsidRPr="002D3BCA" w:rsidTr="00B128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</w:pPr>
            <w:r w:rsidRPr="002D3BCA">
              <w:t>CDK4</w:t>
            </w:r>
          </w:p>
        </w:tc>
        <w:tc>
          <w:tcPr>
            <w:tcW w:w="640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648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607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5</w:t>
            </w:r>
          </w:p>
        </w:tc>
        <w:tc>
          <w:tcPr>
            <w:tcW w:w="944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972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1350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0.4</w:t>
            </w:r>
          </w:p>
        </w:tc>
      </w:tr>
      <w:tr w:rsidR="00B12837" w:rsidRPr="002D3BCA" w:rsidTr="00B128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</w:pPr>
            <w:r w:rsidRPr="002D3BCA">
              <w:t>CDC25A</w:t>
            </w:r>
          </w:p>
        </w:tc>
        <w:tc>
          <w:tcPr>
            <w:tcW w:w="640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D3BCA">
              <w:t>3.84</w:t>
            </w:r>
          </w:p>
        </w:tc>
        <w:tc>
          <w:tcPr>
            <w:tcW w:w="648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D3BCA">
              <w:t>1.46</w:t>
            </w:r>
          </w:p>
        </w:tc>
        <w:tc>
          <w:tcPr>
            <w:tcW w:w="607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944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D3BCA">
              <w:t>3.46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D3BCA">
              <w:t>1.85</w:t>
            </w:r>
          </w:p>
        </w:tc>
        <w:tc>
          <w:tcPr>
            <w:tcW w:w="972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1350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D3BCA">
              <w:t>0.42</w:t>
            </w:r>
          </w:p>
        </w:tc>
      </w:tr>
      <w:tr w:rsidR="00B12837" w:rsidRPr="002D3BCA" w:rsidTr="00B128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</w:pPr>
            <w:r w:rsidRPr="002D3BCA">
              <w:t>CDK2</w:t>
            </w:r>
          </w:p>
        </w:tc>
        <w:tc>
          <w:tcPr>
            <w:tcW w:w="640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3.17</w:t>
            </w:r>
          </w:p>
        </w:tc>
        <w:tc>
          <w:tcPr>
            <w:tcW w:w="648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0.09</w:t>
            </w:r>
          </w:p>
        </w:tc>
        <w:tc>
          <w:tcPr>
            <w:tcW w:w="607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944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0.86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972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4.87</w:t>
            </w:r>
          </w:p>
        </w:tc>
        <w:tc>
          <w:tcPr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1350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0.46</w:t>
            </w:r>
          </w:p>
        </w:tc>
      </w:tr>
      <w:tr w:rsidR="00B12837" w:rsidRPr="002D3BCA" w:rsidTr="00B1283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</w:pPr>
            <w:r w:rsidRPr="002D3BCA">
              <w:t>CDKN1B</w:t>
            </w:r>
          </w:p>
        </w:tc>
        <w:tc>
          <w:tcPr>
            <w:tcW w:w="640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648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607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944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D3BCA">
              <w:t>3.68</w:t>
            </w:r>
          </w:p>
        </w:tc>
        <w:tc>
          <w:tcPr>
            <w:tcW w:w="972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1350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2D3BCA">
              <w:t>0.36</w:t>
            </w:r>
          </w:p>
        </w:tc>
      </w:tr>
      <w:tr w:rsidR="00B12837" w:rsidRPr="002D3BCA" w:rsidTr="00B12837">
        <w:trPr>
          <w:trHeight w:val="3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</w:pPr>
            <w:r w:rsidRPr="002D3BCA">
              <w:t>miR-17-92</w:t>
            </w:r>
          </w:p>
        </w:tc>
        <w:tc>
          <w:tcPr>
            <w:tcW w:w="640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2.34</w:t>
            </w:r>
          </w:p>
        </w:tc>
        <w:tc>
          <w:tcPr>
            <w:tcW w:w="648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3.98</w:t>
            </w:r>
          </w:p>
        </w:tc>
        <w:tc>
          <w:tcPr>
            <w:tcW w:w="607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944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703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972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t>--</w:t>
            </w:r>
          </w:p>
        </w:tc>
        <w:tc>
          <w:tcPr>
            <w:tcW w:w="1154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1.86</w:t>
            </w:r>
          </w:p>
        </w:tc>
        <w:tc>
          <w:tcPr>
            <w:tcW w:w="1350" w:type="dxa"/>
            <w:noWrap/>
            <w:hideMark/>
          </w:tcPr>
          <w:p w:rsidR="002D3BCA" w:rsidRPr="002D3BCA" w:rsidRDefault="002D3BCA" w:rsidP="002D3BCA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2D3BCA">
              <w:t>0.9</w:t>
            </w:r>
          </w:p>
        </w:tc>
      </w:tr>
    </w:tbl>
    <w:p w:rsidR="00E64703" w:rsidRDefault="00E64703" w:rsidP="00D72C44"/>
    <w:p w:rsidR="002D3BCA" w:rsidRPr="002D3BCA" w:rsidRDefault="002D3BCA" w:rsidP="002D3BCA">
      <w:pPr>
        <w:pStyle w:val="ListParagraph"/>
        <w:numPr>
          <w:ilvl w:val="0"/>
          <w:numId w:val="2"/>
        </w:numPr>
        <w:ind w:left="360"/>
        <w:rPr>
          <w:color w:val="C45911" w:themeColor="accent2" w:themeShade="BF"/>
          <w:sz w:val="28"/>
          <w:szCs w:val="28"/>
        </w:rPr>
      </w:pPr>
      <w:r>
        <w:rPr>
          <w:color w:val="C45911" w:themeColor="accent2" w:themeShade="BF"/>
          <w:sz w:val="28"/>
          <w:szCs w:val="28"/>
        </w:rPr>
        <w:t xml:space="preserve">Supplementary </w:t>
      </w:r>
      <w:r>
        <w:rPr>
          <w:color w:val="C45911" w:themeColor="accent2" w:themeShade="BF"/>
          <w:sz w:val="28"/>
          <w:szCs w:val="28"/>
        </w:rPr>
        <w:t>Figures</w:t>
      </w:r>
    </w:p>
    <w:p w:rsidR="002D3BCA" w:rsidRDefault="002D3BCA" w:rsidP="002D3BCA">
      <w:pPr>
        <w:keepNext/>
        <w:jc w:val="center"/>
      </w:pPr>
      <w:r>
        <w:rPr>
          <w:b/>
          <w:bCs/>
          <w:noProof/>
        </w:rPr>
        <w:drawing>
          <wp:inline distT="0" distB="0" distL="0" distR="0" wp14:anchorId="10102325" wp14:editId="5620FF82">
            <wp:extent cx="5943600" cy="2836545"/>
            <wp:effectExtent l="0" t="0" r="0" b="190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cancerl cell orders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291E" w:rsidRPr="002D3BCA" w:rsidRDefault="002D3BCA" w:rsidP="002D3BCA">
      <w:pPr>
        <w:pStyle w:val="Caption"/>
        <w:jc w:val="center"/>
        <w:rPr>
          <w:rFonts w:asciiTheme="majorBidi" w:hAnsiTheme="majorBidi" w:cstheme="majorBidi"/>
          <w:i w:val="0"/>
          <w:iCs w:val="0"/>
        </w:rPr>
      </w:pPr>
      <w:r w:rsidRPr="002D3BCA">
        <w:rPr>
          <w:rFonts w:asciiTheme="majorBidi" w:hAnsiTheme="majorBidi" w:cstheme="majorBidi"/>
          <w:i w:val="0"/>
          <w:iCs w:val="0"/>
        </w:rPr>
        <w:t xml:space="preserve">Supplementary Figure </w:t>
      </w:r>
      <w:r w:rsidRPr="002D3BCA">
        <w:rPr>
          <w:rFonts w:asciiTheme="majorBidi" w:hAnsiTheme="majorBidi" w:cstheme="majorBidi"/>
          <w:i w:val="0"/>
          <w:iCs w:val="0"/>
        </w:rPr>
        <w:fldChar w:fldCharType="begin"/>
      </w:r>
      <w:r w:rsidRPr="002D3BCA">
        <w:rPr>
          <w:rFonts w:asciiTheme="majorBidi" w:hAnsiTheme="majorBidi" w:cstheme="majorBidi"/>
          <w:i w:val="0"/>
          <w:iCs w:val="0"/>
        </w:rPr>
        <w:instrText xml:space="preserve"> SEQ Figure \* ARABIC </w:instrText>
      </w:r>
      <w:r w:rsidRPr="002D3BCA">
        <w:rPr>
          <w:rFonts w:asciiTheme="majorBidi" w:hAnsiTheme="majorBidi" w:cstheme="majorBidi"/>
          <w:i w:val="0"/>
          <w:iCs w:val="0"/>
        </w:rPr>
        <w:fldChar w:fldCharType="separate"/>
      </w:r>
      <w:r w:rsidR="00A54FDA">
        <w:rPr>
          <w:rFonts w:asciiTheme="majorBidi" w:hAnsiTheme="majorBidi" w:cstheme="majorBidi"/>
          <w:i w:val="0"/>
          <w:iCs w:val="0"/>
          <w:noProof/>
        </w:rPr>
        <w:t>1</w:t>
      </w:r>
      <w:r w:rsidRPr="002D3BCA">
        <w:rPr>
          <w:rFonts w:asciiTheme="majorBidi" w:hAnsiTheme="majorBidi" w:cstheme="majorBidi"/>
          <w:i w:val="0"/>
          <w:iCs w:val="0"/>
        </w:rPr>
        <w:fldChar w:fldCharType="end"/>
      </w:r>
      <w:r w:rsidRPr="002D3BCA">
        <w:rPr>
          <w:rFonts w:asciiTheme="majorBidi" w:hAnsiTheme="majorBidi" w:cstheme="majorBidi"/>
          <w:i w:val="0"/>
          <w:iCs w:val="0"/>
        </w:rPr>
        <w:t xml:space="preserve">. </w:t>
      </w:r>
      <w:r w:rsidRPr="002D3BCA">
        <w:rPr>
          <w:rFonts w:asciiTheme="majorBidi" w:hAnsiTheme="majorBidi" w:cstheme="majorBidi"/>
          <w:i w:val="0"/>
          <w:iCs w:val="0"/>
          <w:lang w:val="en-GB"/>
        </w:rPr>
        <w:t>Variable order functions of cancer cell system approximated by RBF neural network</w:t>
      </w:r>
    </w:p>
    <w:p w:rsidR="002D3BCA" w:rsidRDefault="00B4762C" w:rsidP="002D3BCA">
      <w:pPr>
        <w:keepNext/>
        <w:tabs>
          <w:tab w:val="left" w:pos="3909"/>
        </w:tabs>
        <w:jc w:val="center"/>
      </w:pPr>
      <w:r>
        <w:rPr>
          <w:noProof/>
        </w:rPr>
        <w:lastRenderedPageBreak/>
        <w:drawing>
          <wp:inline distT="0" distB="0" distL="0" distR="0">
            <wp:extent cx="5943600" cy="2836545"/>
            <wp:effectExtent l="0" t="0" r="0" b="190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normal cell phase plan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3AA3" w:rsidRDefault="002D3BCA" w:rsidP="00A54FDA">
      <w:pPr>
        <w:pStyle w:val="Caption"/>
        <w:jc w:val="center"/>
        <w:rPr>
          <w:rFonts w:asciiTheme="majorBidi" w:hAnsiTheme="majorBidi" w:cstheme="majorBidi"/>
          <w:i w:val="0"/>
          <w:iCs w:val="0"/>
        </w:rPr>
      </w:pPr>
      <w:r w:rsidRPr="00D80219">
        <w:rPr>
          <w:rFonts w:asciiTheme="majorBidi" w:hAnsiTheme="majorBidi" w:cstheme="majorBidi"/>
          <w:i w:val="0"/>
          <w:iCs w:val="0"/>
        </w:rPr>
        <w:t xml:space="preserve">Supplementary Figure </w:t>
      </w:r>
      <w:r w:rsidRPr="00D80219">
        <w:rPr>
          <w:rFonts w:asciiTheme="majorBidi" w:hAnsiTheme="majorBidi" w:cstheme="majorBidi"/>
          <w:i w:val="0"/>
          <w:iCs w:val="0"/>
        </w:rPr>
        <w:fldChar w:fldCharType="begin"/>
      </w:r>
      <w:r w:rsidRPr="00D80219">
        <w:rPr>
          <w:rFonts w:asciiTheme="majorBidi" w:hAnsiTheme="majorBidi" w:cstheme="majorBidi"/>
          <w:i w:val="0"/>
          <w:iCs w:val="0"/>
        </w:rPr>
        <w:instrText xml:space="preserve"> SEQ Figure \* ARABIC </w:instrText>
      </w:r>
      <w:r w:rsidRPr="00D80219">
        <w:rPr>
          <w:rFonts w:asciiTheme="majorBidi" w:hAnsiTheme="majorBidi" w:cstheme="majorBidi"/>
          <w:i w:val="0"/>
          <w:iCs w:val="0"/>
        </w:rPr>
        <w:fldChar w:fldCharType="separate"/>
      </w:r>
      <w:r w:rsidR="00A54FDA">
        <w:rPr>
          <w:rFonts w:asciiTheme="majorBidi" w:hAnsiTheme="majorBidi" w:cstheme="majorBidi"/>
          <w:i w:val="0"/>
          <w:iCs w:val="0"/>
          <w:noProof/>
        </w:rPr>
        <w:t>2</w:t>
      </w:r>
      <w:r w:rsidRPr="00D80219">
        <w:rPr>
          <w:rFonts w:asciiTheme="majorBidi" w:hAnsiTheme="majorBidi" w:cstheme="majorBidi"/>
          <w:i w:val="0"/>
          <w:iCs w:val="0"/>
        </w:rPr>
        <w:fldChar w:fldCharType="end"/>
      </w:r>
      <w:r w:rsidRPr="00D80219">
        <w:rPr>
          <w:rFonts w:asciiTheme="majorBidi" w:hAnsiTheme="majorBidi" w:cstheme="majorBidi"/>
          <w:i w:val="0"/>
          <w:iCs w:val="0"/>
        </w:rPr>
        <w:t xml:space="preserve">. </w:t>
      </w:r>
      <w:r w:rsidR="00D80219" w:rsidRPr="00D80219">
        <w:rPr>
          <w:rFonts w:asciiTheme="majorBidi" w:hAnsiTheme="majorBidi" w:cstheme="majorBidi"/>
          <w:i w:val="0"/>
          <w:iCs w:val="0"/>
        </w:rPr>
        <w:t>Phase plane diagrams of normal cell system</w:t>
      </w:r>
    </w:p>
    <w:p w:rsidR="00A54FDA" w:rsidRDefault="00A54FDA" w:rsidP="00A54FDA"/>
    <w:p w:rsidR="00A54FDA" w:rsidRPr="00A54FDA" w:rsidRDefault="00A54FDA" w:rsidP="00A54FDA"/>
    <w:p w:rsidR="00B4762C" w:rsidRDefault="00B4762C" w:rsidP="00B4762C">
      <w:pPr>
        <w:keepNext/>
        <w:jc w:val="center"/>
      </w:pPr>
      <w:r>
        <w:rPr>
          <w:noProof/>
        </w:rPr>
        <w:drawing>
          <wp:inline distT="0" distB="0" distL="0" distR="0" wp14:anchorId="3370AEFC" wp14:editId="04F5C60D">
            <wp:extent cx="5943600" cy="2836545"/>
            <wp:effectExtent l="0" t="0" r="0" b="190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cancer cell phase plan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7B8" w:rsidRPr="00B4762C" w:rsidRDefault="00B4762C" w:rsidP="00B4762C">
      <w:pPr>
        <w:pStyle w:val="Caption"/>
        <w:jc w:val="center"/>
        <w:rPr>
          <w:rFonts w:asciiTheme="majorBidi" w:hAnsiTheme="majorBidi" w:cstheme="majorBidi"/>
          <w:i w:val="0"/>
          <w:iCs w:val="0"/>
        </w:rPr>
      </w:pPr>
      <w:r w:rsidRPr="00B4762C">
        <w:rPr>
          <w:rFonts w:asciiTheme="majorBidi" w:hAnsiTheme="majorBidi" w:cstheme="majorBidi"/>
          <w:i w:val="0"/>
          <w:iCs w:val="0"/>
        </w:rPr>
        <w:t xml:space="preserve">Supplementary Figure </w:t>
      </w:r>
      <w:r w:rsidRPr="00B4762C">
        <w:rPr>
          <w:rFonts w:asciiTheme="majorBidi" w:hAnsiTheme="majorBidi" w:cstheme="majorBidi"/>
          <w:i w:val="0"/>
          <w:iCs w:val="0"/>
        </w:rPr>
        <w:fldChar w:fldCharType="begin"/>
      </w:r>
      <w:r w:rsidRPr="00B4762C">
        <w:rPr>
          <w:rFonts w:asciiTheme="majorBidi" w:hAnsiTheme="majorBidi" w:cstheme="majorBidi"/>
          <w:i w:val="0"/>
          <w:iCs w:val="0"/>
        </w:rPr>
        <w:instrText xml:space="preserve"> SEQ Figure \* ARABIC </w:instrText>
      </w:r>
      <w:r w:rsidRPr="00B4762C">
        <w:rPr>
          <w:rFonts w:asciiTheme="majorBidi" w:hAnsiTheme="majorBidi" w:cstheme="majorBidi"/>
          <w:i w:val="0"/>
          <w:iCs w:val="0"/>
        </w:rPr>
        <w:fldChar w:fldCharType="separate"/>
      </w:r>
      <w:r w:rsidR="00A54FDA">
        <w:rPr>
          <w:rFonts w:asciiTheme="majorBidi" w:hAnsiTheme="majorBidi" w:cstheme="majorBidi"/>
          <w:i w:val="0"/>
          <w:iCs w:val="0"/>
          <w:noProof/>
        </w:rPr>
        <w:t>3</w:t>
      </w:r>
      <w:r w:rsidRPr="00B4762C">
        <w:rPr>
          <w:rFonts w:asciiTheme="majorBidi" w:hAnsiTheme="majorBidi" w:cstheme="majorBidi"/>
          <w:i w:val="0"/>
          <w:iCs w:val="0"/>
        </w:rPr>
        <w:fldChar w:fldCharType="end"/>
      </w:r>
      <w:r w:rsidRPr="00B4762C">
        <w:rPr>
          <w:rFonts w:asciiTheme="majorBidi" w:hAnsiTheme="majorBidi" w:cstheme="majorBidi"/>
          <w:i w:val="0"/>
          <w:iCs w:val="0"/>
        </w:rPr>
        <w:t xml:space="preserve">. </w:t>
      </w:r>
      <w:r w:rsidRPr="00B4762C">
        <w:rPr>
          <w:rFonts w:asciiTheme="majorBidi" w:hAnsiTheme="majorBidi" w:cstheme="majorBidi"/>
          <w:i w:val="0"/>
          <w:iCs w:val="0"/>
        </w:rPr>
        <w:t xml:space="preserve">Phase plane diagrams of </w:t>
      </w:r>
      <w:r w:rsidRPr="00B4762C">
        <w:rPr>
          <w:rFonts w:asciiTheme="majorBidi" w:hAnsiTheme="majorBidi" w:cstheme="majorBidi"/>
          <w:i w:val="0"/>
          <w:iCs w:val="0"/>
        </w:rPr>
        <w:t>cancer</w:t>
      </w:r>
      <w:r w:rsidRPr="00B4762C">
        <w:rPr>
          <w:rFonts w:asciiTheme="majorBidi" w:hAnsiTheme="majorBidi" w:cstheme="majorBidi"/>
          <w:i w:val="0"/>
          <w:iCs w:val="0"/>
        </w:rPr>
        <w:t xml:space="preserve"> cell system</w:t>
      </w:r>
    </w:p>
    <w:p w:rsidR="002D47B8" w:rsidRDefault="002D47B8" w:rsidP="002D47B8">
      <w:pPr>
        <w:pStyle w:val="Caption"/>
        <w:jc w:val="center"/>
      </w:pPr>
    </w:p>
    <w:p w:rsidR="002D47B8" w:rsidRDefault="002D47B8" w:rsidP="002D47B8"/>
    <w:p w:rsidR="002D47B8" w:rsidRDefault="002D47B8" w:rsidP="00A54FDA">
      <w:pPr>
        <w:pStyle w:val="Caption"/>
      </w:pPr>
    </w:p>
    <w:p w:rsidR="002D47B8" w:rsidRDefault="002D47B8" w:rsidP="002D47B8"/>
    <w:p w:rsidR="006B4178" w:rsidRDefault="00A54FDA" w:rsidP="002D47B8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52D95A6" wp14:editId="70D30194">
                <wp:simplePos x="0" y="0"/>
                <wp:positionH relativeFrom="column">
                  <wp:posOffset>0</wp:posOffset>
                </wp:positionH>
                <wp:positionV relativeFrom="paragraph">
                  <wp:posOffset>3635375</wp:posOffset>
                </wp:positionV>
                <wp:extent cx="6400800" cy="635"/>
                <wp:effectExtent l="0" t="0" r="0" b="0"/>
                <wp:wrapSquare wrapText="bothSides"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00800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A54FDA" w:rsidRPr="00A54FDA" w:rsidRDefault="00A54FDA" w:rsidP="00A54FDA">
                            <w:pPr>
                              <w:pStyle w:val="Caption"/>
                              <w:rPr>
                                <w:rFonts w:asciiTheme="majorBidi" w:hAnsiTheme="majorBidi" w:cstheme="majorBidi"/>
                                <w:i w:val="0"/>
                                <w:iCs w:val="0"/>
                              </w:rPr>
                            </w:pPr>
                            <w:r w:rsidRPr="00A54FDA">
                              <w:rPr>
                                <w:rFonts w:asciiTheme="majorBidi" w:hAnsiTheme="majorBidi" w:cstheme="majorBidi"/>
                                <w:i w:val="0"/>
                                <w:iCs w:val="0"/>
                              </w:rPr>
                              <w:t xml:space="preserve">Supplementary Figure </w:t>
                            </w:r>
                            <w:r w:rsidRPr="00A54FDA">
                              <w:rPr>
                                <w:rFonts w:asciiTheme="majorBidi" w:hAnsiTheme="majorBidi" w:cstheme="majorBidi"/>
                                <w:i w:val="0"/>
                                <w:iCs w:val="0"/>
                              </w:rPr>
                              <w:fldChar w:fldCharType="begin"/>
                            </w:r>
                            <w:r w:rsidRPr="00A54FDA">
                              <w:rPr>
                                <w:rFonts w:asciiTheme="majorBidi" w:hAnsiTheme="majorBidi" w:cstheme="majorBidi"/>
                                <w:i w:val="0"/>
                                <w:iCs w:val="0"/>
                              </w:rPr>
                              <w:instrText xml:space="preserve"> SEQ Figure \* ARABIC </w:instrText>
                            </w:r>
                            <w:r w:rsidRPr="00A54FDA">
                              <w:rPr>
                                <w:rFonts w:asciiTheme="majorBidi" w:hAnsiTheme="majorBidi" w:cstheme="majorBidi"/>
                                <w:i w:val="0"/>
                                <w:iCs w:val="0"/>
                              </w:rPr>
                              <w:fldChar w:fldCharType="separate"/>
                            </w:r>
                            <w:r>
                              <w:rPr>
                                <w:rFonts w:asciiTheme="majorBidi" w:hAnsiTheme="majorBidi" w:cstheme="majorBidi"/>
                                <w:i w:val="0"/>
                                <w:iCs w:val="0"/>
                                <w:noProof/>
                              </w:rPr>
                              <w:t>4</w:t>
                            </w:r>
                            <w:r w:rsidRPr="00A54FDA">
                              <w:rPr>
                                <w:rFonts w:asciiTheme="majorBidi" w:hAnsiTheme="majorBidi" w:cstheme="majorBidi"/>
                                <w:i w:val="0"/>
                                <w:iCs w:val="0"/>
                              </w:rPr>
                              <w:fldChar w:fldCharType="end"/>
                            </w:r>
                            <w:r w:rsidRPr="00A54FDA">
                              <w:rPr>
                                <w:rFonts w:asciiTheme="majorBidi" w:hAnsiTheme="majorBidi" w:cstheme="majorBidi"/>
                                <w:i w:val="0"/>
                                <w:iCs w:val="0"/>
                              </w:rPr>
                              <w:t xml:space="preserve">. Normal cell </w:t>
                            </w:r>
                            <w:r w:rsidRPr="00A54FDA">
                              <w:rPr>
                                <w:rFonts w:asciiTheme="majorBidi" w:hAnsiTheme="majorBidi" w:cstheme="majorBidi"/>
                                <w:i w:val="0"/>
                                <w:iCs w:val="0"/>
                                <w:lang w:bidi="en-US"/>
                              </w:rPr>
                              <w:t>system response to changing initial conditions. In this figure, the initial conditions are up and down with a coefficient of 1.1 and 0.9.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52D95A6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0;margin-top:286.25pt;width:7in;height:.0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" stroked="f">
                <v:textbox style="mso-fit-shape-to-text:t" inset="0,0,0,0">
                  <w:txbxContent>
                    <w:p w:rsidR="00A54FDA" w:rsidRPr="00A54FDA" w:rsidRDefault="00A54FDA" w:rsidP="00A54FDA">
                      <w:pPr>
                        <w:pStyle w:val="Caption"/>
                        <w:rPr>
                          <w:rFonts w:asciiTheme="majorBidi" w:hAnsiTheme="majorBidi" w:cstheme="majorBidi"/>
                          <w:i w:val="0"/>
                          <w:iCs w:val="0"/>
                        </w:rPr>
                      </w:pPr>
                      <w:r w:rsidRPr="00A54FDA">
                        <w:rPr>
                          <w:rFonts w:asciiTheme="majorBidi" w:hAnsiTheme="majorBidi" w:cstheme="majorBidi"/>
                          <w:i w:val="0"/>
                          <w:iCs w:val="0"/>
                        </w:rPr>
                        <w:t xml:space="preserve">Supplementary Figure </w:t>
                      </w:r>
                      <w:r w:rsidRPr="00A54FDA">
                        <w:rPr>
                          <w:rFonts w:asciiTheme="majorBidi" w:hAnsiTheme="majorBidi" w:cstheme="majorBidi"/>
                          <w:i w:val="0"/>
                          <w:iCs w:val="0"/>
                        </w:rPr>
                        <w:fldChar w:fldCharType="begin"/>
                      </w:r>
                      <w:r w:rsidRPr="00A54FDA">
                        <w:rPr>
                          <w:rFonts w:asciiTheme="majorBidi" w:hAnsiTheme="majorBidi" w:cstheme="majorBidi"/>
                          <w:i w:val="0"/>
                          <w:iCs w:val="0"/>
                        </w:rPr>
                        <w:instrText xml:space="preserve"> SEQ Figure \* ARABIC </w:instrText>
                      </w:r>
                      <w:r w:rsidRPr="00A54FDA">
                        <w:rPr>
                          <w:rFonts w:asciiTheme="majorBidi" w:hAnsiTheme="majorBidi" w:cstheme="majorBidi"/>
                          <w:i w:val="0"/>
                          <w:iCs w:val="0"/>
                        </w:rPr>
                        <w:fldChar w:fldCharType="separate"/>
                      </w:r>
                      <w:r>
                        <w:rPr>
                          <w:rFonts w:asciiTheme="majorBidi" w:hAnsiTheme="majorBidi" w:cstheme="majorBidi"/>
                          <w:i w:val="0"/>
                          <w:iCs w:val="0"/>
                          <w:noProof/>
                        </w:rPr>
                        <w:t>4</w:t>
                      </w:r>
                      <w:r w:rsidRPr="00A54FDA">
                        <w:rPr>
                          <w:rFonts w:asciiTheme="majorBidi" w:hAnsiTheme="majorBidi" w:cstheme="majorBidi"/>
                          <w:i w:val="0"/>
                          <w:iCs w:val="0"/>
                        </w:rPr>
                        <w:fldChar w:fldCharType="end"/>
                      </w:r>
                      <w:r w:rsidRPr="00A54FDA">
                        <w:rPr>
                          <w:rFonts w:asciiTheme="majorBidi" w:hAnsiTheme="majorBidi" w:cstheme="majorBidi"/>
                          <w:i w:val="0"/>
                          <w:iCs w:val="0"/>
                        </w:rPr>
                        <w:t xml:space="preserve">. Normal cell </w:t>
                      </w:r>
                      <w:r w:rsidRPr="00A54FDA">
                        <w:rPr>
                          <w:rFonts w:asciiTheme="majorBidi" w:hAnsiTheme="majorBidi" w:cstheme="majorBidi"/>
                          <w:i w:val="0"/>
                          <w:iCs w:val="0"/>
                          <w:lang w:bidi="en-US"/>
                        </w:rPr>
                        <w:t>system response to changing initial conditions. In this figure, the initial conditions are up and down with a coefficient of 1.1 and 0.9.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3302E">
        <w:rPr>
          <w:rFonts w:ascii="Times New Roman" w:eastAsia="Times New Roman" w:hAnsi="Times New Roman" w:cs="Times New Roman"/>
          <w:noProof/>
        </w:rPr>
        <w:drawing>
          <wp:anchor distT="0" distB="0" distL="114300" distR="114300" simplePos="0" relativeHeight="251659264" behindDoc="0" locked="0" layoutInCell="1" allowOverlap="1" wp14:anchorId="6B49757F" wp14:editId="7C2D89B6">
            <wp:simplePos x="0" y="0"/>
            <wp:positionH relativeFrom="margin">
              <wp:posOffset>0</wp:posOffset>
            </wp:positionH>
            <wp:positionV relativeFrom="margin">
              <wp:posOffset>286385</wp:posOffset>
            </wp:positionV>
            <wp:extent cx="6400800" cy="3291840"/>
            <wp:effectExtent l="0" t="0" r="0" b="3810"/>
            <wp:wrapSquare wrapText="bothSides"/>
            <wp:docPr id="34" name="Picture 5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" name="Picture 56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0800" cy="3291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B4178" w:rsidRDefault="006B4178" w:rsidP="002D47B8"/>
    <w:p w:rsidR="00A54FDA" w:rsidRDefault="00A54FDA" w:rsidP="00A54FDA">
      <w:pPr>
        <w:keepNext/>
      </w:pPr>
      <w:r>
        <w:rPr>
          <w:noProof/>
        </w:rPr>
        <w:drawing>
          <wp:inline distT="0" distB="0" distL="0" distR="0" wp14:anchorId="2627BB98" wp14:editId="5D547A7A">
            <wp:extent cx="5943600" cy="2836545"/>
            <wp:effectExtent l="0" t="0" r="0" b="1905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cancer cell p(1)bif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4FDA" w:rsidRPr="00A54FDA" w:rsidRDefault="00A54FDA" w:rsidP="00A54FDA">
      <w:pPr>
        <w:pStyle w:val="Caption"/>
        <w:jc w:val="center"/>
        <w:rPr>
          <w:rFonts w:asciiTheme="majorBidi" w:hAnsiTheme="majorBidi" w:cstheme="majorBidi"/>
          <w:i w:val="0"/>
          <w:iCs w:val="0"/>
        </w:rPr>
      </w:pPr>
      <w:r w:rsidRPr="00A54FDA">
        <w:rPr>
          <w:rFonts w:asciiTheme="majorBidi" w:hAnsiTheme="majorBidi" w:cstheme="majorBidi"/>
          <w:i w:val="0"/>
          <w:iCs w:val="0"/>
        </w:rPr>
        <w:t xml:space="preserve">Supplementary Figure </w:t>
      </w:r>
      <w:r w:rsidRPr="00A54FDA">
        <w:rPr>
          <w:rFonts w:asciiTheme="majorBidi" w:hAnsiTheme="majorBidi" w:cstheme="majorBidi"/>
          <w:i w:val="0"/>
          <w:iCs w:val="0"/>
        </w:rPr>
        <w:fldChar w:fldCharType="begin"/>
      </w:r>
      <w:r w:rsidRPr="00A54FDA">
        <w:rPr>
          <w:rFonts w:asciiTheme="majorBidi" w:hAnsiTheme="majorBidi" w:cstheme="majorBidi"/>
          <w:i w:val="0"/>
          <w:iCs w:val="0"/>
        </w:rPr>
        <w:instrText xml:space="preserve"> SEQ Figure \* ARABIC </w:instrText>
      </w:r>
      <w:r w:rsidRPr="00A54FDA">
        <w:rPr>
          <w:rFonts w:asciiTheme="majorBidi" w:hAnsiTheme="majorBidi" w:cstheme="majorBidi"/>
          <w:i w:val="0"/>
          <w:iCs w:val="0"/>
        </w:rPr>
        <w:fldChar w:fldCharType="separate"/>
      </w:r>
      <w:r>
        <w:rPr>
          <w:rFonts w:asciiTheme="majorBidi" w:hAnsiTheme="majorBidi" w:cstheme="majorBidi"/>
          <w:i w:val="0"/>
          <w:iCs w:val="0"/>
          <w:noProof/>
        </w:rPr>
        <w:t>5</w:t>
      </w:r>
      <w:r w:rsidRPr="00A54FDA">
        <w:rPr>
          <w:rFonts w:asciiTheme="majorBidi" w:hAnsiTheme="majorBidi" w:cstheme="majorBidi"/>
          <w:i w:val="0"/>
          <w:iCs w:val="0"/>
        </w:rPr>
        <w:fldChar w:fldCharType="end"/>
      </w:r>
      <w:r w:rsidRPr="00A54FDA">
        <w:rPr>
          <w:rFonts w:asciiTheme="majorBidi" w:hAnsiTheme="majorBidi" w:cstheme="majorBidi"/>
          <w:i w:val="0"/>
          <w:iCs w:val="0"/>
        </w:rPr>
        <w:t xml:space="preserve">. </w:t>
      </w:r>
      <w:r w:rsidRPr="00A54FDA">
        <w:rPr>
          <w:rFonts w:asciiTheme="majorBidi" w:hAnsiTheme="majorBidi" w:cstheme="majorBidi"/>
          <w:i w:val="0"/>
          <w:iCs w:val="0"/>
        </w:rPr>
        <w:t xml:space="preserve">Bifurcation diagram for changing </w:t>
      </w:r>
      <w:r w:rsidRPr="00A54FDA">
        <w:rPr>
          <w:rFonts w:asciiTheme="majorBidi" w:hAnsiTheme="majorBidi" w:cstheme="majorBidi"/>
          <w:i w:val="0"/>
          <w:iCs w:val="0"/>
          <w:lang w:bidi="en-US"/>
        </w:rPr>
        <w:t xml:space="preserve">MYC </w:t>
      </w:r>
      <w:r w:rsidRPr="00A54FDA">
        <w:rPr>
          <w:rFonts w:asciiTheme="majorBidi" w:hAnsiTheme="majorBidi" w:cstheme="majorBidi"/>
          <w:i w:val="0"/>
          <w:iCs w:val="0"/>
          <w:lang w:bidi="en-US"/>
        </w:rPr>
        <w:t>Self-</w:t>
      </w:r>
      <w:r w:rsidRPr="00A54FDA">
        <w:rPr>
          <w:rFonts w:asciiTheme="majorBidi" w:hAnsiTheme="majorBidi" w:cstheme="majorBidi"/>
          <w:i w:val="0"/>
          <w:iCs w:val="0"/>
          <w:lang w:bidi="en-US"/>
        </w:rPr>
        <w:t xml:space="preserve">Synthesis Rate </w:t>
      </w:r>
      <w:r w:rsidRPr="00A54FDA">
        <w:rPr>
          <w:rFonts w:asciiTheme="majorBidi" w:hAnsiTheme="majorBidi" w:cstheme="majorBidi"/>
          <w:i w:val="0"/>
          <w:iCs w:val="0"/>
          <w:position w:val="-12"/>
          <w:lang w:bidi="en-US"/>
        </w:rPr>
        <w:object w:dxaOrig="240" w:dyaOrig="3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75" type="#_x0000_t75" style="width:12.1pt;height:18.75pt" o:ole="">
            <v:imagedata r:id="rId13" o:title=""/>
          </v:shape>
          <o:OLEObject Type="Embed" ProgID="Equation.3" ShapeID="_x0000_i1075" DrawAspect="Content" ObjectID="_1661670624" r:id="rId14"/>
        </w:object>
      </w:r>
      <w:r w:rsidRPr="00A54FDA">
        <w:rPr>
          <w:rFonts w:asciiTheme="majorBidi" w:hAnsiTheme="majorBidi" w:cstheme="majorBidi"/>
          <w:i w:val="0"/>
          <w:iCs w:val="0"/>
          <w:lang w:bidi="en-US"/>
        </w:rPr>
        <w:t>in cancer cell</w:t>
      </w:r>
    </w:p>
    <w:p w:rsidR="006B4178" w:rsidRDefault="006B4178" w:rsidP="002D47B8"/>
    <w:p w:rsidR="006B4178" w:rsidRDefault="006B4178" w:rsidP="002D47B8"/>
    <w:p w:rsidR="00A54FDA" w:rsidRDefault="00A54FDA" w:rsidP="00A54FDA">
      <w:pPr>
        <w:keepNext/>
      </w:pPr>
      <w:r>
        <w:rPr>
          <w:noProof/>
        </w:rPr>
        <w:lastRenderedPageBreak/>
        <w:drawing>
          <wp:inline distT="0" distB="0" distL="0" distR="0" wp14:anchorId="287FD0F4" wp14:editId="4A7FDD1C">
            <wp:extent cx="5943600" cy="2836545"/>
            <wp:effectExtent l="0" t="0" r="0" b="190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cancer cell signals p-1-501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4178" w:rsidRPr="00A54FDA" w:rsidRDefault="00A54FDA" w:rsidP="00A54FDA">
      <w:pPr>
        <w:pStyle w:val="Caption"/>
        <w:jc w:val="center"/>
        <w:rPr>
          <w:rFonts w:asciiTheme="majorBidi" w:hAnsiTheme="majorBidi" w:cstheme="majorBidi"/>
          <w:i w:val="0"/>
          <w:iCs w:val="0"/>
        </w:rPr>
      </w:pPr>
      <w:r w:rsidRPr="00A54FDA">
        <w:rPr>
          <w:rFonts w:asciiTheme="majorBidi" w:hAnsiTheme="majorBidi" w:cstheme="majorBidi"/>
          <w:i w:val="0"/>
          <w:iCs w:val="0"/>
        </w:rPr>
        <w:t xml:space="preserve">Supplementary Figure </w:t>
      </w:r>
      <w:r w:rsidRPr="00A54FDA">
        <w:rPr>
          <w:rFonts w:asciiTheme="majorBidi" w:hAnsiTheme="majorBidi" w:cstheme="majorBidi"/>
          <w:i w:val="0"/>
          <w:iCs w:val="0"/>
        </w:rPr>
        <w:fldChar w:fldCharType="begin"/>
      </w:r>
      <w:r w:rsidRPr="00A54FDA">
        <w:rPr>
          <w:rFonts w:asciiTheme="majorBidi" w:hAnsiTheme="majorBidi" w:cstheme="majorBidi"/>
          <w:i w:val="0"/>
          <w:iCs w:val="0"/>
        </w:rPr>
        <w:instrText xml:space="preserve"> SEQ Figure \* ARABIC </w:instrText>
      </w:r>
      <w:r w:rsidRPr="00A54FDA">
        <w:rPr>
          <w:rFonts w:asciiTheme="majorBidi" w:hAnsiTheme="majorBidi" w:cstheme="majorBidi"/>
          <w:i w:val="0"/>
          <w:iCs w:val="0"/>
        </w:rPr>
        <w:fldChar w:fldCharType="separate"/>
      </w:r>
      <w:r>
        <w:rPr>
          <w:rFonts w:asciiTheme="majorBidi" w:hAnsiTheme="majorBidi" w:cstheme="majorBidi"/>
          <w:i w:val="0"/>
          <w:iCs w:val="0"/>
          <w:noProof/>
        </w:rPr>
        <w:t>6</w:t>
      </w:r>
      <w:r w:rsidRPr="00A54FDA">
        <w:rPr>
          <w:rFonts w:asciiTheme="majorBidi" w:hAnsiTheme="majorBidi" w:cstheme="majorBidi"/>
          <w:i w:val="0"/>
          <w:iCs w:val="0"/>
        </w:rPr>
        <w:fldChar w:fldCharType="end"/>
      </w:r>
      <w:r w:rsidRPr="00A54FDA">
        <w:rPr>
          <w:rFonts w:asciiTheme="majorBidi" w:hAnsiTheme="majorBidi" w:cstheme="majorBidi"/>
          <w:i w:val="0"/>
          <w:iCs w:val="0"/>
        </w:rPr>
        <w:t>. Cancer cell s</w:t>
      </w:r>
      <w:r w:rsidRPr="00A54FDA">
        <w:rPr>
          <w:rFonts w:asciiTheme="majorBidi" w:hAnsiTheme="majorBidi" w:cstheme="majorBidi"/>
          <w:i w:val="0"/>
          <w:iCs w:val="0"/>
        </w:rPr>
        <w:t xml:space="preserve">ystem response to </w:t>
      </w:r>
      <w:r w:rsidRPr="00A54FDA">
        <w:rPr>
          <w:rFonts w:asciiTheme="majorBidi" w:hAnsiTheme="majorBidi" w:cstheme="majorBidi"/>
          <w:i w:val="0"/>
          <w:iCs w:val="0"/>
          <w:lang w:bidi="en-US"/>
        </w:rPr>
        <w:t xml:space="preserve">MYC </w:t>
      </w:r>
      <w:r w:rsidRPr="00A54FDA">
        <w:rPr>
          <w:rFonts w:asciiTheme="majorBidi" w:hAnsiTheme="majorBidi" w:cstheme="majorBidi"/>
          <w:i w:val="0"/>
          <w:iCs w:val="0"/>
          <w:lang w:bidi="en-US"/>
        </w:rPr>
        <w:t>Self-</w:t>
      </w:r>
      <w:r w:rsidRPr="00A54FDA">
        <w:rPr>
          <w:rFonts w:asciiTheme="majorBidi" w:hAnsiTheme="majorBidi" w:cstheme="majorBidi"/>
          <w:i w:val="0"/>
          <w:iCs w:val="0"/>
          <w:lang w:bidi="en-US"/>
        </w:rPr>
        <w:t xml:space="preserve">Synthesis Rate </w:t>
      </w:r>
      <w:r w:rsidRPr="00A54FDA">
        <w:rPr>
          <w:rFonts w:asciiTheme="majorBidi" w:hAnsiTheme="majorBidi" w:cstheme="majorBidi"/>
          <w:i w:val="0"/>
          <w:iCs w:val="0"/>
          <w:position w:val="-12"/>
          <w:lang w:bidi="en-US"/>
        </w:rPr>
        <w:object w:dxaOrig="240" w:dyaOrig="380">
          <v:shape id="_x0000_i1081" type="#_x0000_t75" style="width:12.1pt;height:18.75pt" o:ole="">
            <v:imagedata r:id="rId13" o:title=""/>
          </v:shape>
          <o:OLEObject Type="Embed" ProgID="Equation.3" ShapeID="_x0000_i1081" DrawAspect="Content" ObjectID="_1661670625" r:id="rId16"/>
        </w:object>
      </w:r>
      <w:r w:rsidRPr="00A54FDA">
        <w:rPr>
          <w:rFonts w:asciiTheme="majorBidi" w:hAnsiTheme="majorBidi" w:cstheme="majorBidi"/>
          <w:i w:val="0"/>
          <w:iCs w:val="0"/>
          <w:lang w:bidi="en-US"/>
        </w:rPr>
        <w:t>=50</w:t>
      </w:r>
    </w:p>
    <w:p w:rsidR="00A54FDA" w:rsidRDefault="00A54FDA" w:rsidP="002D47B8"/>
    <w:p w:rsidR="00A54FDA" w:rsidRDefault="00A54FDA" w:rsidP="00A54FDA">
      <w:pPr>
        <w:pStyle w:val="Caption"/>
        <w:keepNext/>
      </w:pPr>
      <w:r>
        <w:rPr>
          <w:noProof/>
        </w:rPr>
        <w:drawing>
          <wp:inline distT="0" distB="0" distL="0" distR="0" wp14:anchorId="3317EC70" wp14:editId="37D65037">
            <wp:extent cx="5943600" cy="2836545"/>
            <wp:effectExtent l="0" t="0" r="0" b="1905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-q cancer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6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7B8" w:rsidRPr="00B12837" w:rsidRDefault="00A54FDA" w:rsidP="00B12837">
      <w:pPr>
        <w:pStyle w:val="Caption"/>
        <w:jc w:val="center"/>
        <w:rPr>
          <w:rFonts w:asciiTheme="majorBidi" w:hAnsiTheme="majorBidi" w:cstheme="majorBidi"/>
          <w:i w:val="0"/>
          <w:iCs w:val="0"/>
        </w:rPr>
      </w:pPr>
      <w:r w:rsidRPr="00B12837">
        <w:rPr>
          <w:rFonts w:asciiTheme="majorBidi" w:hAnsiTheme="majorBidi" w:cstheme="majorBidi"/>
          <w:i w:val="0"/>
          <w:iCs w:val="0"/>
        </w:rPr>
        <w:t xml:space="preserve">Supplementary Figure </w:t>
      </w:r>
      <w:r w:rsidRPr="00B12837">
        <w:rPr>
          <w:rFonts w:asciiTheme="majorBidi" w:hAnsiTheme="majorBidi" w:cstheme="majorBidi"/>
          <w:i w:val="0"/>
          <w:iCs w:val="0"/>
        </w:rPr>
        <w:fldChar w:fldCharType="begin"/>
      </w:r>
      <w:r w:rsidRPr="00B12837">
        <w:rPr>
          <w:rFonts w:asciiTheme="majorBidi" w:hAnsiTheme="majorBidi" w:cstheme="majorBidi"/>
          <w:i w:val="0"/>
          <w:iCs w:val="0"/>
        </w:rPr>
        <w:instrText xml:space="preserve"> SEQ Figure \* ARABIC </w:instrText>
      </w:r>
      <w:r w:rsidRPr="00B12837">
        <w:rPr>
          <w:rFonts w:asciiTheme="majorBidi" w:hAnsiTheme="majorBidi" w:cstheme="majorBidi"/>
          <w:i w:val="0"/>
          <w:iCs w:val="0"/>
        </w:rPr>
        <w:fldChar w:fldCharType="separate"/>
      </w:r>
      <w:r w:rsidRPr="00B12837">
        <w:rPr>
          <w:rFonts w:asciiTheme="majorBidi" w:hAnsiTheme="majorBidi" w:cstheme="majorBidi"/>
          <w:i w:val="0"/>
          <w:iCs w:val="0"/>
          <w:noProof/>
        </w:rPr>
        <w:t>7</w:t>
      </w:r>
      <w:r w:rsidRPr="00B12837">
        <w:rPr>
          <w:rFonts w:asciiTheme="majorBidi" w:hAnsiTheme="majorBidi" w:cstheme="majorBidi"/>
          <w:i w:val="0"/>
          <w:iCs w:val="0"/>
        </w:rPr>
        <w:fldChar w:fldCharType="end"/>
      </w:r>
      <w:r w:rsidRPr="00B12837">
        <w:rPr>
          <w:rFonts w:asciiTheme="majorBidi" w:hAnsiTheme="majorBidi" w:cstheme="majorBidi"/>
          <w:i w:val="0"/>
          <w:iCs w:val="0"/>
        </w:rPr>
        <w:t xml:space="preserve">. Q-p plots </w:t>
      </w:r>
      <w:r w:rsidR="00B12837" w:rsidRPr="00B12837">
        <w:rPr>
          <w:rFonts w:asciiTheme="majorBidi" w:hAnsiTheme="majorBidi" w:cstheme="majorBidi"/>
          <w:i w:val="0"/>
          <w:iCs w:val="0"/>
        </w:rPr>
        <w:t>for cancer cell</w:t>
      </w:r>
    </w:p>
    <w:sectPr w:rsidR="002D47B8" w:rsidRPr="00B12837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3335D" w:rsidRDefault="0013335D" w:rsidP="006D24D2">
      <w:pPr>
        <w:spacing w:after="0" w:line="240" w:lineRule="auto"/>
      </w:pPr>
      <w:r>
        <w:separator/>
      </w:r>
    </w:p>
  </w:endnote>
  <w:endnote w:type="continuationSeparator" w:id="0">
    <w:p w:rsidR="0013335D" w:rsidRDefault="0013335D" w:rsidP="006D24D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3335D" w:rsidRDefault="0013335D" w:rsidP="006D24D2">
      <w:pPr>
        <w:spacing w:after="0" w:line="240" w:lineRule="auto"/>
      </w:pPr>
      <w:r>
        <w:separator/>
      </w:r>
    </w:p>
  </w:footnote>
  <w:footnote w:type="continuationSeparator" w:id="0">
    <w:p w:rsidR="0013335D" w:rsidRDefault="0013335D" w:rsidP="006D24D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62C3243"/>
    <w:multiLevelType w:val="hybridMultilevel"/>
    <w:tmpl w:val="1C601154"/>
    <w:lvl w:ilvl="0" w:tplc="D162596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8A76605"/>
    <w:multiLevelType w:val="hybridMultilevel"/>
    <w:tmpl w:val="24A068CC"/>
    <w:lvl w:ilvl="0" w:tplc="00FC15E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276C"/>
    <w:rsid w:val="00022446"/>
    <w:rsid w:val="000236C6"/>
    <w:rsid w:val="000C2C8A"/>
    <w:rsid w:val="0013335D"/>
    <w:rsid w:val="001B5014"/>
    <w:rsid w:val="001D2EB4"/>
    <w:rsid w:val="00227F40"/>
    <w:rsid w:val="002B2E0F"/>
    <w:rsid w:val="002D3BCA"/>
    <w:rsid w:val="002D47B8"/>
    <w:rsid w:val="003549DF"/>
    <w:rsid w:val="00356DF3"/>
    <w:rsid w:val="0041451A"/>
    <w:rsid w:val="004F0F3F"/>
    <w:rsid w:val="0051276C"/>
    <w:rsid w:val="005D2D8A"/>
    <w:rsid w:val="005E2D52"/>
    <w:rsid w:val="00611108"/>
    <w:rsid w:val="006B4178"/>
    <w:rsid w:val="006B6EC2"/>
    <w:rsid w:val="006D24D2"/>
    <w:rsid w:val="00753AA3"/>
    <w:rsid w:val="00760E90"/>
    <w:rsid w:val="00796F44"/>
    <w:rsid w:val="0088291E"/>
    <w:rsid w:val="008B1A5D"/>
    <w:rsid w:val="00957F56"/>
    <w:rsid w:val="009B6C6D"/>
    <w:rsid w:val="009C3BBC"/>
    <w:rsid w:val="009F5CEB"/>
    <w:rsid w:val="00A05903"/>
    <w:rsid w:val="00A54FDA"/>
    <w:rsid w:val="00B12837"/>
    <w:rsid w:val="00B25A49"/>
    <w:rsid w:val="00B4762C"/>
    <w:rsid w:val="00BB01F9"/>
    <w:rsid w:val="00C53A35"/>
    <w:rsid w:val="00C5664B"/>
    <w:rsid w:val="00C7735F"/>
    <w:rsid w:val="00C937A7"/>
    <w:rsid w:val="00D0151B"/>
    <w:rsid w:val="00D72C44"/>
    <w:rsid w:val="00D80219"/>
    <w:rsid w:val="00E64703"/>
    <w:rsid w:val="00E85637"/>
    <w:rsid w:val="00EE1DB8"/>
    <w:rsid w:val="00F84402"/>
    <w:rsid w:val="00FF75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F499669"/>
  <w15:chartTrackingRefBased/>
  <w15:docId w15:val="{F5C76F49-8CAF-4CAF-ACC8-3176B6DE79A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51276C"/>
    <w:pPr>
      <w:widowControl w:val="0"/>
      <w:autoSpaceDE w:val="0"/>
      <w:autoSpaceDN w:val="0"/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41451A"/>
    <w:pPr>
      <w:spacing w:after="200" w:line="240" w:lineRule="auto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uiPriority w:val="34"/>
    <w:qFormat/>
    <w:rsid w:val="00760E90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6D24D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D24D2"/>
  </w:style>
  <w:style w:type="paragraph" w:styleId="Footer">
    <w:name w:val="footer"/>
    <w:basedOn w:val="Normal"/>
    <w:link w:val="FooterChar"/>
    <w:uiPriority w:val="99"/>
    <w:unhideWhenUsed/>
    <w:rsid w:val="006D24D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24D2"/>
  </w:style>
  <w:style w:type="table" w:styleId="GridTable5Dark-Accent2">
    <w:name w:val="Grid Table 5 Dark Accent 2"/>
    <w:basedOn w:val="TableNormal"/>
    <w:uiPriority w:val="50"/>
    <w:rsid w:val="00B12837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BE4D5" w:themeFill="accent2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ED7D31" w:themeFill="accent2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ED7D31" w:themeFill="accent2"/>
      </w:tcPr>
    </w:tblStylePr>
    <w:tblStylePr w:type="band1Vert">
      <w:tblPr/>
      <w:tcPr>
        <w:shd w:val="clear" w:color="auto" w:fill="F7CAAC" w:themeFill="accent2" w:themeFillTint="66"/>
      </w:tcPr>
    </w:tblStylePr>
    <w:tblStylePr w:type="band1Horz">
      <w:tblPr/>
      <w:tcPr>
        <w:shd w:val="clear" w:color="auto" w:fill="F7CAAC" w:themeFill="accent2" w:themeFillTint="66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1811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71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w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52513A7-EA8B-4D16-B8EC-A8BFF04299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210</Words>
  <Characters>1203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ComSys</dc:creator>
  <cp:keywords/>
  <dc:description/>
  <cp:lastModifiedBy>ComSys</cp:lastModifiedBy>
  <cp:revision>2</cp:revision>
  <cp:lastPrinted>2020-09-02T23:50:00Z</cp:lastPrinted>
  <dcterms:created xsi:type="dcterms:W3CDTF">2020-09-15T05:41:00Z</dcterms:created>
  <dcterms:modified xsi:type="dcterms:W3CDTF">2020-09-15T05:41:00Z</dcterms:modified>
</cp:coreProperties>
</file>